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1260" w:leader="none"/>
        </w:tabs>
        <w:spacing w:lineRule="auto" w:line="240" w:before="0" w:after="0"/>
        <w:ind w:left="1260" w:hanging="1080"/>
        <w:jc w:val="right"/>
        <w:rPr>
          <w:rFonts w:ascii="Times New Roman" w:hAnsi="Times New Roman" w:eastAsia="Times New Roman" w:cs="Arial"/>
          <w:sz w:val="24"/>
          <w:szCs w:val="28"/>
          <w:lang w:eastAsia="ru-RU"/>
        </w:rPr>
      </w:pPr>
      <w:r>
        <w:rPr>
          <w:rFonts w:eastAsia="Times New Roman" w:cs="Arial" w:ascii="Times New Roman" w:hAnsi="Times New Roman"/>
          <w:sz w:val="24"/>
          <w:szCs w:val="28"/>
          <w:lang w:eastAsia="ru-RU"/>
        </w:rPr>
        <w:t>Приложение № 8</w:t>
      </w:r>
    </w:p>
    <w:p>
      <w:pPr>
        <w:pStyle w:val="Normal"/>
        <w:tabs>
          <w:tab w:val="clear" w:pos="708"/>
          <w:tab w:val="left" w:pos="1260" w:leader="none"/>
        </w:tabs>
        <w:spacing w:lineRule="auto" w:line="240" w:before="0" w:after="0"/>
        <w:ind w:left="1260" w:hanging="1080"/>
        <w:jc w:val="right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sz w:val="24"/>
          <w:szCs w:val="28"/>
          <w:lang w:eastAsia="ru-RU"/>
        </w:rPr>
        <w:t>к Техническим требованиям</w:t>
      </w: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pStyle w:val="Normal"/>
        <w:ind w:left="567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Calibri" w:ascii="Times New Roman" w:hAnsi="Times New Roman"/>
          <w:sz w:val="24"/>
          <w:szCs w:val="24"/>
        </w:rPr>
        <w:t>«ОКПД2 25.11.</w:t>
      </w:r>
      <w:r>
        <w:rPr>
          <w:rFonts w:eastAsia="Calibri" w:ascii="Times New Roman" w:hAnsi="Times New Roman"/>
          <w:sz w:val="24"/>
          <w:szCs w:val="24"/>
        </w:rPr>
        <w:t>23.114</w:t>
      </w:r>
      <w:r>
        <w:rPr>
          <w:rFonts w:eastAsia="Calibri" w:ascii="Times New Roman" w:hAnsi="Times New Roman"/>
          <w:sz w:val="24"/>
          <w:szCs w:val="24"/>
        </w:rPr>
        <w:t>. Поставка, сборка и монтаж затворов водосливной плотины №№1,3 и затворов байпаса спиральной камеры №№4,9,14, поставка, укрупненная сборка и замена решеток сороудерживающего сооружения №№19,20 Жигулевской ГЭС</w:t>
      </w:r>
      <w:bookmarkStart w:id="0" w:name="_GoBack"/>
      <w:bookmarkEnd w:id="0"/>
      <w:r>
        <w:rPr>
          <w:rFonts w:eastAsia="Calibri" w:ascii="Times New Roman" w:hAnsi="Times New Roman"/>
          <w:sz w:val="24"/>
          <w:szCs w:val="24"/>
        </w:rPr>
        <w:t>»</w:t>
      </w:r>
    </w:p>
    <w:p>
      <w:pPr>
        <w:pStyle w:val="Normal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jc w:val="center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Порядок подготовки и передачи на центральный склад филиала ПАО «РусГидро» – «Жигулевская ГЭС» лома и отходов черных и цветных металлов</w:t>
      </w:r>
      <w:r>
        <w:rPr/>
        <w:t xml:space="preserve">  </w:t>
      </w:r>
    </w:p>
    <w:p>
      <w:pPr>
        <w:pStyle w:val="Normal"/>
        <w:spacing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(приказ ПАО «РусГидро» от 11.01.2023 № 10)</w:t>
      </w:r>
    </w:p>
    <w:p>
      <w:pPr>
        <w:pStyle w:val="Normal"/>
        <w:spacing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</w:t>
        <w:tab/>
        <w:t>Под действие настоящего «Порядка подготовки и передачи на центральный склад филиала ПАО «РусГидро» – «Жигулевская ГЭС» лома и отходов черных и цветных металлов» попадает вторсырьё, образовавшееся: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1.1.</w:t>
        <w:tab/>
        <w:t>При выполнении работ по производственным программам ремонта, технического перевооружения и реконструкции, технического обслуживания, которые производятся силами подрядных организаций.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1.2.</w:t>
        <w:tab/>
        <w:t>В результате выбытия основных производственных фондов, непригодных для дальнейшего использования или продажи и не требующих специальной утилизации.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</w:t>
        <w:tab/>
        <w:t>Подрядные организации в ходе выполнения работ по договорам при образовании вторсырья несут ответственность за: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</w:t>
        <w:tab/>
        <w:t>своевременную и полную сдачу вторсырья на центральный склад филиала</w:t>
      </w:r>
      <w:r>
        <w:rPr/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ПАО «РусГидро» – «Жигулевская ГЭС»;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</w:t>
        <w:tab/>
        <w:t xml:space="preserve">соблюдение правил внутреннего трудового распорядка и требований пропускного и внутриобъектового режима предприятия филиала ПАО «РусГидро» – «Жигулевская ГЭС», в том числе в части ввоза, вывоза, перемещения вторсырья;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</w:t>
        <w:tab/>
        <w:t>своевременное уведомление (не менее чем за 5 рабочих дней) ответственного специалиста СБ</w:t>
      </w:r>
      <w:r>
        <w:rPr/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филиала ПАО «РусГидро» – «Жигулевская ГЭС» о начале работ по демонтажу предназначенного к утилизации оборудования, месте демонтажа и месте временного складирования, наименовании и количестве вторсырья в местах временного складирования;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</w:t>
        <w:tab/>
        <w:t>отделение лома металлов от других видов производственных отходов, сдачу лома раздельно по видам металлов и отходов (должны быть рассортированы</w:t>
      </w:r>
      <w:r>
        <w:rPr/>
        <w:t xml:space="preserve"> </w:t>
      </w:r>
      <w:r>
        <w:rPr>
          <w:rFonts w:cs="Times New Roman" w:ascii="Times New Roman" w:hAnsi="Times New Roman"/>
          <w:sz w:val="24"/>
          <w:szCs w:val="24"/>
        </w:rPr>
        <w:t>в соответствии с ГОСТ 2787-2019</w:t>
      </w:r>
      <w:r>
        <w:rPr/>
        <w:t xml:space="preserve"> </w:t>
      </w:r>
      <w:r>
        <w:rPr>
          <w:rFonts w:cs="Times New Roman" w:ascii="Times New Roman" w:hAnsi="Times New Roman"/>
          <w:sz w:val="24"/>
          <w:szCs w:val="24"/>
        </w:rPr>
        <w:t>по классификационным признакам «Вид», «Группа» и «Общее обозначение»</w:t>
      </w:r>
      <w:r>
        <w:rPr/>
        <w:t xml:space="preserve"> </w:t>
      </w:r>
      <w:r>
        <w:rPr>
          <w:rFonts w:cs="Times New Roman" w:ascii="Times New Roman" w:hAnsi="Times New Roman"/>
          <w:sz w:val="24"/>
          <w:szCs w:val="24"/>
        </w:rPr>
        <w:t>и классификацией, указанной в ГОСТ Р 54564-2011, не допуская смешивания);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</w:t>
        <w:tab/>
        <w:t>разделку лома и отходов черных и цветных металлов до транспортных габаритов и массы;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</w:t>
        <w:tab/>
        <w:t xml:space="preserve"> погрузку, транспортировку лома до места взвешивания и места последующего хранения лома, взвешивание, разгрузку лома в местах хранения (указанные филиалом ПАО «РусГидро» – «Жигулевская ГЭС»). Данные работы выполняются с привлечением автотранспорта и спецтехники подрядной организации.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</w:t>
        <w:tab/>
        <w:t>Передача вторсырья на Центральный склад филиала ПАО «РусГидро» – «Жигулевская ГЭС» для последующей его реализации, оформляется совместным с подрядной организацией «Актом приема-передачи товарно-материальных ценностей».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</w:t>
        <w:tab/>
        <w:t>Во время проведения работ подрядной организацией по демонтажу предназначенного к утилизации оборудования, допускается временное его складирование в местах, согласованных с ПТС, СОТиПК и СБ.</w:t>
      </w:r>
    </w:p>
    <w:p>
      <w:pPr>
        <w:pStyle w:val="Normal"/>
        <w:spacing w:lineRule="auto" w:line="240" w:before="0" w:after="0"/>
        <w:ind w:left="43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43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nextPage"/>
      <w:pgSz w:w="11906" w:h="16838"/>
      <w:pgMar w:left="1134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Verdana"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Arial Unicode MS"/>
    </w:rPr>
  </w:style>
  <w:style w:type="paragraph" w:styleId="Style11" w:customStyle="1">
    <w:name w:val="Знак"/>
    <w:basedOn w:val="Normal"/>
    <w:qFormat/>
    <w:rsid w:val="0093594b"/>
    <w:pPr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f55a9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Application>AlterOffice/3.4.0.9$Linux_X86_64 LibreOffice_project/b8daf9e823b1a5463a2f48435ddc2e8696e7d4fc</Application>
  <AppVersion>15.0000</AppVersion>
  <Pages>2</Pages>
  <Words>359</Words>
  <Characters>2498</Characters>
  <CharactersWithSpaces>2854</CharactersWithSpaces>
  <Paragraphs>17</Paragraphs>
  <Company>RusHydro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2022-09-22T14:16:00Z</dcterms:created>
  <dc:creator>Ганин Дмитрий Александрович</dc:creator>
  <dc:description/>
  <dc:language>ru-RU</dc:language>
  <cp:lastModifiedBy>krylovaev@corp.gidroogk.com</cp:lastModifiedBy>
  <dcterms:modified xsi:type="dcterms:W3CDTF">2026-04-08T13:31:28Z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